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46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Line: You have access to BMJ Learning</w:t>
      </w:r>
    </w:p>
    <w:p w:rsidR="00000000" w:rsidDel="00000000" w:rsidP="00000000" w:rsidRDefault="00000000" w:rsidRPr="00000000" w14:paraId="00000001">
      <w:pPr>
        <w:ind w:left="46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60" w:firstLine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Body Copy: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after="0" w:before="0" w:line="276" w:lineRule="auto"/>
        <w:ind w:left="460" w:right="0" w:firstLine="0"/>
        <w:contextualSpacing w:val="0"/>
        <w:jc w:val="left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We thought you might like to know that 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(insert organisation)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provides free access to BMJ Learning for 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(insert user group)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Once you are signed up, you will get access to hundreds of CPD modules in over 70 specialty areas.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pacing w:after="0" w:before="0" w:line="276" w:lineRule="auto"/>
        <w:ind w:left="4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Each learning module is evidence based, peer reviewed and regularly updated. Take advantage of your access today and keep up to date with clinical scenarios to support your revalidation.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You have access to::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Hundreds of interactive learning modules, across over 70 specialty areas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Your own BMJ Portfolio to track and record your CPD/CME credits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Clinical scenarios giving the opportunity to apply the learned knowledge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Pause and restart modules to be completed at an opportune time during hectic schedules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Five million modules have already been started, find out below how to log in today: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To access BMJ Learning follow the steps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  <w:color w:val="999999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Visit learning.bmj.com and click the ‘Sign in’ button on the top right of the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0"/>
          <w:szCs w:val="20"/>
          <w:highlight w:val="yellow"/>
        </w:rPr>
      </w:pP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From the drop down menu, please select ‘Open Athens’ or ‘Shibboleth’. From here follow the steps to login using your credentials provided to you by your organisation..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If you need any assistance getting started, please download our </w:t>
      </w:r>
      <w:hyperlink r:id="rId6">
        <w:r w:rsidDel="00000000" w:rsidR="00000000" w:rsidRPr="00000000">
          <w:rPr>
            <w:b w:val="1"/>
            <w:color w:val="222222"/>
            <w:sz w:val="20"/>
            <w:szCs w:val="20"/>
            <w:highlight w:val="white"/>
            <w:u w:val="single"/>
            <w:rtl w:val="0"/>
          </w:rPr>
          <w:t xml:space="preserve">user guide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or contact our support team at </w:t>
      </w:r>
      <w:hyperlink r:id="rId7">
        <w:r w:rsidDel="00000000" w:rsidR="00000000" w:rsidRPr="00000000">
          <w:rPr>
            <w:b w:val="1"/>
            <w:color w:val="222222"/>
            <w:sz w:val="20"/>
            <w:szCs w:val="20"/>
            <w:highlight w:val="white"/>
            <w:u w:val="single"/>
            <w:rtl w:val="0"/>
          </w:rPr>
          <w:t xml:space="preserve">support@bmj.com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Kind 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ind w:left="460" w:firstLine="0"/>
        <w:contextualSpacing w:val="0"/>
        <w:rPr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The BMJ Learning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ind w:left="4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Calibri" w:cs="Calibri" w:eastAsia="Calibri" w:hAnsi="Calibri"/>
          <w:b w:val="1"/>
          <w:color w:val="5e61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rtl w:val="0"/>
        </w:rPr>
        <w:t xml:space="preserve">Disclaimer: You can view BMJ’s privacy policy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e6168"/>
            <w:sz w:val="18"/>
            <w:szCs w:val="18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5e6168"/>
            <w:sz w:val="18"/>
            <w:szCs w:val="18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e6168"/>
          <w:sz w:val="18"/>
          <w:szCs w:val="18"/>
          <w:highlight w:val="white"/>
          <w:rtl w:val="0"/>
        </w:rPr>
        <w:t xml:space="preserve">to find out how your information will be managed.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mails.bmj.com/c/1fXKgrUX5MJmOA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mj.com/company/wp-content/uploads/2015/08/English-Learning-Getting-Started-A4-flyer-LR-3.pdf" TargetMode="External"/><Relationship Id="rId7" Type="http://schemas.openxmlformats.org/officeDocument/2006/relationships/hyperlink" Target="mailto:support@bmj.com" TargetMode="External"/><Relationship Id="rId8" Type="http://schemas.openxmlformats.org/officeDocument/2006/relationships/hyperlink" Target="http://emails.bmj.com/c/1fXKgrUX5MJmO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